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B81" w:rsidRDefault="00DD4B81" w:rsidP="00DD4B81">
      <w:pPr>
        <w:spacing w:line="400" w:lineRule="exact"/>
        <w:rPr>
          <w:sz w:val="28"/>
          <w:szCs w:val="28"/>
        </w:rPr>
      </w:pPr>
      <w:bookmarkStart w:id="0" w:name="_GoBack"/>
      <w:bookmarkEnd w:id="0"/>
      <w:r w:rsidRPr="00D23973">
        <w:rPr>
          <w:rFonts w:hint="eastAsia"/>
          <w:sz w:val="28"/>
          <w:szCs w:val="28"/>
        </w:rPr>
        <w:t>令和４年度　特別の教育課程</w:t>
      </w:r>
      <w:r>
        <w:rPr>
          <w:rFonts w:hint="eastAsia"/>
          <w:sz w:val="28"/>
          <w:szCs w:val="28"/>
        </w:rPr>
        <w:t>（立川市民科）</w:t>
      </w:r>
      <w:r w:rsidRPr="00D23973">
        <w:rPr>
          <w:rFonts w:hint="eastAsia"/>
          <w:sz w:val="28"/>
          <w:szCs w:val="28"/>
        </w:rPr>
        <w:t>の実施状況等について</w:t>
      </w:r>
    </w:p>
    <w:p w:rsidR="00DD4B81" w:rsidRPr="00D23973" w:rsidRDefault="00DD4B81" w:rsidP="00DD4B81">
      <w:pPr>
        <w:spacing w:line="400" w:lineRule="exact"/>
        <w:rPr>
          <w:sz w:val="28"/>
          <w:szCs w:val="28"/>
        </w:rPr>
      </w:pPr>
    </w:p>
    <w:p w:rsidR="00DD4B81" w:rsidRDefault="00DD4B81" w:rsidP="00DD4B81">
      <w:pPr>
        <w:spacing w:line="400" w:lineRule="exact"/>
        <w:rPr>
          <w:sz w:val="24"/>
          <w:szCs w:val="24"/>
        </w:rPr>
      </w:pPr>
      <w:r>
        <w:rPr>
          <w:rFonts w:hint="eastAsia"/>
          <w:sz w:val="24"/>
          <w:szCs w:val="24"/>
        </w:rPr>
        <w:t>１．学校名　　　　　　　　　立川市立</w:t>
      </w:r>
      <w:r w:rsidR="002F5E04">
        <w:rPr>
          <w:rFonts w:hint="eastAsia"/>
          <w:sz w:val="24"/>
          <w:szCs w:val="24"/>
          <w:u w:val="single"/>
        </w:rPr>
        <w:t>南砂小</w:t>
      </w:r>
      <w:r>
        <w:rPr>
          <w:rFonts w:hint="eastAsia"/>
          <w:sz w:val="24"/>
          <w:szCs w:val="24"/>
        </w:rPr>
        <w:t>学校</w:t>
      </w:r>
    </w:p>
    <w:p w:rsidR="00DD4B81" w:rsidRPr="002F1F0D" w:rsidRDefault="00DD4B81" w:rsidP="00DD4B81">
      <w:pPr>
        <w:spacing w:line="400" w:lineRule="exact"/>
        <w:rPr>
          <w:sz w:val="24"/>
          <w:szCs w:val="24"/>
        </w:rPr>
      </w:pPr>
    </w:p>
    <w:p w:rsidR="00DD4B81" w:rsidRPr="002F1F0D" w:rsidRDefault="00DD4B81" w:rsidP="00DD4B81">
      <w:pPr>
        <w:spacing w:line="400" w:lineRule="exact"/>
        <w:rPr>
          <w:sz w:val="24"/>
          <w:szCs w:val="24"/>
        </w:rPr>
      </w:pPr>
      <w:r>
        <w:rPr>
          <w:rFonts w:hint="eastAsia"/>
          <w:sz w:val="24"/>
          <w:szCs w:val="24"/>
        </w:rPr>
        <w:t>２．令和４年度　学校における</w:t>
      </w:r>
      <w:r w:rsidRPr="002F1F0D">
        <w:rPr>
          <w:rFonts w:hint="eastAsia"/>
          <w:sz w:val="24"/>
          <w:szCs w:val="24"/>
        </w:rPr>
        <w:t>自己評価</w:t>
      </w:r>
      <w:r>
        <w:rPr>
          <w:rFonts w:hint="eastAsia"/>
          <w:sz w:val="24"/>
          <w:szCs w:val="24"/>
        </w:rPr>
        <w:t>（箇条書きでご記入ください。）</w:t>
      </w:r>
    </w:p>
    <w:tbl>
      <w:tblPr>
        <w:tblStyle w:val="a3"/>
        <w:tblW w:w="0" w:type="auto"/>
        <w:tblLook w:val="04A0" w:firstRow="1" w:lastRow="0" w:firstColumn="1" w:lastColumn="0" w:noHBand="0" w:noVBand="1"/>
      </w:tblPr>
      <w:tblGrid>
        <w:gridCol w:w="2972"/>
        <w:gridCol w:w="7484"/>
      </w:tblGrid>
      <w:tr w:rsidR="00DD4B81" w:rsidTr="00F37A08">
        <w:trPr>
          <w:trHeight w:val="1183"/>
        </w:trPr>
        <w:tc>
          <w:tcPr>
            <w:tcW w:w="2972" w:type="dxa"/>
            <w:shd w:val="pct10" w:color="auto" w:fill="auto"/>
          </w:tcPr>
          <w:p w:rsidR="00DD4B81" w:rsidRDefault="00DD4B81" w:rsidP="00EF0000">
            <w:pPr>
              <w:spacing w:line="400" w:lineRule="exact"/>
              <w:rPr>
                <w:sz w:val="24"/>
                <w:szCs w:val="24"/>
              </w:rPr>
            </w:pPr>
            <w:r>
              <w:rPr>
                <w:rFonts w:hint="eastAsia"/>
                <w:sz w:val="24"/>
                <w:szCs w:val="24"/>
              </w:rPr>
              <w:t>立川市民科の取組の</w:t>
            </w:r>
            <w:r w:rsidRPr="002F1F0D">
              <w:rPr>
                <w:rFonts w:hint="eastAsia"/>
                <w:sz w:val="24"/>
                <w:szCs w:val="24"/>
              </w:rPr>
              <w:t>効果</w:t>
            </w:r>
          </w:p>
        </w:tc>
        <w:tc>
          <w:tcPr>
            <w:tcW w:w="7484" w:type="dxa"/>
          </w:tcPr>
          <w:p w:rsidR="002F5E04" w:rsidRDefault="002F5E04" w:rsidP="002F5E04">
            <w:pPr>
              <w:ind w:left="210" w:hangingChars="100" w:hanging="210"/>
              <w:rPr>
                <w:rFonts w:ascii="ＭＳ 明朝" w:eastAsia="ＭＳ 明朝" w:hAnsi="ＭＳ 明朝"/>
              </w:rPr>
            </w:pPr>
            <w:r>
              <w:rPr>
                <w:rFonts w:ascii="ＭＳ 明朝" w:eastAsia="ＭＳ 明朝" w:hAnsi="ＭＳ 明朝" w:hint="eastAsia"/>
              </w:rPr>
              <w:t>・導入時に現地に足を運び、疑問に思ったことを分類・整理する中で、</w:t>
            </w:r>
            <w:r w:rsidRPr="00B1780B">
              <w:rPr>
                <w:rFonts w:ascii="ＭＳ 明朝" w:eastAsia="ＭＳ 明朝" w:hAnsi="ＭＳ 明朝" w:hint="eastAsia"/>
              </w:rPr>
              <w:t>児童一人一人の興味・関心に応じた学習課題を</w:t>
            </w:r>
            <w:r>
              <w:rPr>
                <w:rFonts w:ascii="ＭＳ 明朝" w:eastAsia="ＭＳ 明朝" w:hAnsi="ＭＳ 明朝" w:hint="eastAsia"/>
              </w:rPr>
              <w:t>もたせる</w:t>
            </w:r>
            <w:r w:rsidRPr="00B1780B">
              <w:rPr>
                <w:rFonts w:ascii="ＭＳ 明朝" w:eastAsia="ＭＳ 明朝" w:hAnsi="ＭＳ 明朝" w:hint="eastAsia"/>
              </w:rPr>
              <w:t>ことができた。</w:t>
            </w:r>
          </w:p>
          <w:p w:rsidR="00DD4B81" w:rsidRPr="002F5E04" w:rsidRDefault="002F5E04" w:rsidP="002F5E04">
            <w:pPr>
              <w:ind w:left="210" w:hangingChars="100" w:hanging="210"/>
              <w:rPr>
                <w:rFonts w:ascii="ＭＳ 明朝" w:eastAsia="ＭＳ 明朝" w:hAnsi="ＭＳ 明朝"/>
              </w:rPr>
            </w:pPr>
            <w:r>
              <w:rPr>
                <w:rFonts w:ascii="ＭＳ 明朝" w:eastAsia="ＭＳ 明朝" w:hAnsi="ＭＳ 明朝" w:hint="eastAsia"/>
              </w:rPr>
              <w:t>・</w:t>
            </w:r>
            <w:r w:rsidRPr="00B1780B">
              <w:rPr>
                <w:rFonts w:ascii="ＭＳ 明朝" w:eastAsia="ＭＳ 明朝" w:hAnsi="ＭＳ 明朝" w:hint="eastAsia"/>
              </w:rPr>
              <w:t>相手意識と目的意識を児童にもたせることで、学習のまとめの見通しをもつことができた。</w:t>
            </w:r>
          </w:p>
        </w:tc>
      </w:tr>
      <w:tr w:rsidR="00DD4B81" w:rsidTr="00F37A08">
        <w:trPr>
          <w:trHeight w:val="973"/>
        </w:trPr>
        <w:tc>
          <w:tcPr>
            <w:tcW w:w="2972" w:type="dxa"/>
            <w:shd w:val="pct10" w:color="auto" w:fill="auto"/>
          </w:tcPr>
          <w:p w:rsidR="00DD4B81" w:rsidRDefault="00DD4B81" w:rsidP="00EF0000">
            <w:pPr>
              <w:spacing w:line="400" w:lineRule="exact"/>
              <w:rPr>
                <w:sz w:val="24"/>
                <w:szCs w:val="24"/>
              </w:rPr>
            </w:pPr>
            <w:r w:rsidRPr="002F1F0D">
              <w:rPr>
                <w:rFonts w:hint="eastAsia"/>
                <w:sz w:val="24"/>
                <w:szCs w:val="24"/>
              </w:rPr>
              <w:t>立川市民科</w:t>
            </w:r>
            <w:r>
              <w:rPr>
                <w:rFonts w:hint="eastAsia"/>
                <w:sz w:val="24"/>
                <w:szCs w:val="24"/>
              </w:rPr>
              <w:t>の取組の課題</w:t>
            </w:r>
          </w:p>
        </w:tc>
        <w:tc>
          <w:tcPr>
            <w:tcW w:w="7484" w:type="dxa"/>
          </w:tcPr>
          <w:p w:rsidR="002F5E04" w:rsidRDefault="002F5E04" w:rsidP="002F5E04">
            <w:pPr>
              <w:ind w:left="210" w:hangingChars="100" w:hanging="210"/>
              <w:rPr>
                <w:rFonts w:ascii="ＭＳ 明朝" w:eastAsia="ＭＳ 明朝" w:hAnsi="ＭＳ 明朝"/>
              </w:rPr>
            </w:pPr>
            <w:r>
              <w:rPr>
                <w:rFonts w:ascii="ＭＳ 明朝" w:eastAsia="ＭＳ 明朝" w:hAnsi="ＭＳ 明朝" w:hint="eastAsia"/>
              </w:rPr>
              <w:t>・</w:t>
            </w:r>
            <w:r w:rsidRPr="00B1780B">
              <w:rPr>
                <w:rFonts w:ascii="ＭＳ 明朝" w:eastAsia="ＭＳ 明朝" w:hAnsi="ＭＳ 明朝" w:hint="eastAsia"/>
              </w:rPr>
              <w:t>児童一人一人の興味・関心に応じた学習課題をもたせる際には、その学習課題の解決の見通しやその方法をある程度もたせる必要がある。</w:t>
            </w:r>
          </w:p>
          <w:p w:rsidR="00DD4B81" w:rsidRPr="002F5E04" w:rsidRDefault="002F5E04" w:rsidP="002F5E04">
            <w:pPr>
              <w:ind w:left="210" w:hangingChars="100" w:hanging="210"/>
              <w:rPr>
                <w:rFonts w:ascii="ＭＳ 明朝" w:eastAsia="ＭＳ 明朝" w:hAnsi="ＭＳ 明朝"/>
              </w:rPr>
            </w:pPr>
            <w:r>
              <w:rPr>
                <w:rFonts w:ascii="ＭＳ 明朝" w:eastAsia="ＭＳ 明朝" w:hAnsi="ＭＳ 明朝" w:hint="eastAsia"/>
              </w:rPr>
              <w:t>・</w:t>
            </w:r>
            <w:r w:rsidRPr="00B1780B">
              <w:rPr>
                <w:rFonts w:ascii="ＭＳ 明朝" w:eastAsia="ＭＳ 明朝" w:hAnsi="ＭＳ 明朝" w:hint="eastAsia"/>
              </w:rPr>
              <w:t>自ら探究する課題設定をして主体的に学習を進めていくためには、ゲストティーチャーの招聘や児童の実態に応じた資料の提示など、「課題設定の段階」をより一層充実させることが重要であることが分かった。</w:t>
            </w:r>
          </w:p>
        </w:tc>
      </w:tr>
    </w:tbl>
    <w:p w:rsidR="00DD4B81" w:rsidRDefault="00DD4B81" w:rsidP="00DD4B81">
      <w:pPr>
        <w:spacing w:line="400" w:lineRule="exact"/>
        <w:rPr>
          <w:sz w:val="24"/>
          <w:szCs w:val="24"/>
        </w:rPr>
      </w:pPr>
    </w:p>
    <w:p w:rsidR="00DD4B81" w:rsidRPr="002F1F0D" w:rsidRDefault="00DD4B81" w:rsidP="00DD4B81">
      <w:pPr>
        <w:spacing w:line="400" w:lineRule="exact"/>
        <w:rPr>
          <w:sz w:val="24"/>
          <w:szCs w:val="24"/>
        </w:rPr>
      </w:pPr>
    </w:p>
    <w:p w:rsidR="00DD4B81" w:rsidRPr="002F1F0D" w:rsidRDefault="00DD4B81" w:rsidP="00DD4B81">
      <w:pPr>
        <w:spacing w:line="400" w:lineRule="exact"/>
        <w:rPr>
          <w:sz w:val="24"/>
          <w:szCs w:val="24"/>
        </w:rPr>
      </w:pPr>
      <w:r>
        <w:rPr>
          <w:rFonts w:hint="eastAsia"/>
          <w:sz w:val="24"/>
          <w:szCs w:val="24"/>
        </w:rPr>
        <w:t>３．</w:t>
      </w:r>
      <w:r w:rsidRPr="002F1F0D">
        <w:rPr>
          <w:rFonts w:hint="eastAsia"/>
          <w:sz w:val="24"/>
          <w:szCs w:val="24"/>
        </w:rPr>
        <w:t>令和４年度</w:t>
      </w:r>
      <w:r>
        <w:rPr>
          <w:rFonts w:hint="eastAsia"/>
          <w:sz w:val="24"/>
          <w:szCs w:val="24"/>
        </w:rPr>
        <w:t xml:space="preserve">　学校評価</w:t>
      </w:r>
      <w:r w:rsidRPr="002F1F0D">
        <w:rPr>
          <w:rFonts w:hint="eastAsia"/>
          <w:sz w:val="24"/>
          <w:szCs w:val="24"/>
        </w:rPr>
        <w:t>に係る共通項目のうち</w:t>
      </w:r>
    </w:p>
    <w:p w:rsidR="00DD4B81" w:rsidRPr="002F1F0D" w:rsidRDefault="00DD4B81" w:rsidP="00DD4B81">
      <w:pPr>
        <w:spacing w:line="400" w:lineRule="exact"/>
        <w:ind w:firstLineChars="100" w:firstLine="240"/>
        <w:rPr>
          <w:sz w:val="24"/>
          <w:szCs w:val="24"/>
        </w:rPr>
      </w:pPr>
      <w:r>
        <w:rPr>
          <w:rFonts w:hint="eastAsia"/>
          <w:sz w:val="24"/>
          <w:szCs w:val="24"/>
        </w:rPr>
        <w:t>①</w:t>
      </w:r>
      <w:r w:rsidRPr="002F1F0D">
        <w:rPr>
          <w:rFonts w:hint="eastAsia"/>
          <w:sz w:val="24"/>
          <w:szCs w:val="24"/>
        </w:rPr>
        <w:t>対象：児童・生徒</w:t>
      </w:r>
    </w:p>
    <w:p w:rsidR="00DD4B81" w:rsidRDefault="00DD4B81" w:rsidP="00DD4B81">
      <w:pPr>
        <w:spacing w:line="400" w:lineRule="exact"/>
        <w:ind w:leftChars="200" w:left="1380" w:hangingChars="400" w:hanging="960"/>
        <w:rPr>
          <w:sz w:val="24"/>
          <w:szCs w:val="24"/>
        </w:rPr>
      </w:pPr>
      <w:r w:rsidRPr="002F1F0D">
        <w:rPr>
          <w:rFonts w:hint="eastAsia"/>
          <w:sz w:val="24"/>
          <w:szCs w:val="24"/>
        </w:rPr>
        <w:t>項目：⑫立川市民科では、自分で立てた課題について、情報を集め、整理・分析し、まとめ・表現することができた。</w:t>
      </w:r>
    </w:p>
    <w:p w:rsidR="00DD4B81" w:rsidRDefault="00DD4B81" w:rsidP="00DD4B81">
      <w:pPr>
        <w:spacing w:line="400" w:lineRule="exact"/>
        <w:ind w:left="960" w:hangingChars="400" w:hanging="960"/>
        <w:jc w:val="right"/>
        <w:rPr>
          <w:sz w:val="24"/>
          <w:szCs w:val="24"/>
        </w:rPr>
      </w:pPr>
      <w:r>
        <w:rPr>
          <w:rFonts w:hint="eastAsia"/>
          <w:sz w:val="24"/>
          <w:szCs w:val="24"/>
        </w:rPr>
        <w:t>（割合）</w:t>
      </w:r>
    </w:p>
    <w:tbl>
      <w:tblPr>
        <w:tblStyle w:val="a3"/>
        <w:tblW w:w="0" w:type="auto"/>
        <w:tblInd w:w="960" w:type="dxa"/>
        <w:tblLook w:val="04A0" w:firstRow="1" w:lastRow="0" w:firstColumn="1" w:lastColumn="0" w:noHBand="0" w:noVBand="1"/>
      </w:tblPr>
      <w:tblGrid>
        <w:gridCol w:w="1964"/>
        <w:gridCol w:w="1900"/>
        <w:gridCol w:w="1875"/>
        <w:gridCol w:w="1878"/>
        <w:gridCol w:w="1879"/>
      </w:tblGrid>
      <w:tr w:rsidR="002F5E04" w:rsidTr="00EF0000">
        <w:tc>
          <w:tcPr>
            <w:tcW w:w="2091" w:type="dxa"/>
            <w:shd w:val="pct10" w:color="auto" w:fill="auto"/>
          </w:tcPr>
          <w:p w:rsidR="00DD4B81" w:rsidRDefault="00DD4B81" w:rsidP="00EF0000">
            <w:pPr>
              <w:spacing w:line="400" w:lineRule="exact"/>
              <w:rPr>
                <w:sz w:val="24"/>
                <w:szCs w:val="24"/>
              </w:rPr>
            </w:pPr>
            <w:r>
              <w:rPr>
                <w:rFonts w:hint="eastAsia"/>
                <w:sz w:val="24"/>
                <w:szCs w:val="24"/>
              </w:rPr>
              <w:t>そう思う</w:t>
            </w:r>
          </w:p>
        </w:tc>
        <w:tc>
          <w:tcPr>
            <w:tcW w:w="2091" w:type="dxa"/>
            <w:shd w:val="pct10" w:color="auto" w:fill="auto"/>
          </w:tcPr>
          <w:p w:rsidR="00DD4B81" w:rsidRDefault="00DD4B81" w:rsidP="00EF0000">
            <w:pPr>
              <w:spacing w:line="400" w:lineRule="exact"/>
              <w:rPr>
                <w:sz w:val="24"/>
                <w:szCs w:val="24"/>
              </w:rPr>
            </w:pPr>
            <w:r>
              <w:rPr>
                <w:rFonts w:hint="eastAsia"/>
                <w:sz w:val="24"/>
                <w:szCs w:val="24"/>
              </w:rPr>
              <w:t>概ねそう思う</w:t>
            </w:r>
          </w:p>
        </w:tc>
        <w:tc>
          <w:tcPr>
            <w:tcW w:w="2091" w:type="dxa"/>
            <w:shd w:val="pct10" w:color="auto" w:fill="auto"/>
          </w:tcPr>
          <w:p w:rsidR="00DD4B81" w:rsidRDefault="00DD4B81" w:rsidP="00EF0000">
            <w:pPr>
              <w:spacing w:line="400" w:lineRule="exact"/>
              <w:rPr>
                <w:sz w:val="24"/>
                <w:szCs w:val="24"/>
              </w:rPr>
            </w:pPr>
            <w:r>
              <w:rPr>
                <w:rFonts w:hint="eastAsia"/>
                <w:sz w:val="24"/>
                <w:szCs w:val="24"/>
              </w:rPr>
              <w:t>あまりそう思わない</w:t>
            </w:r>
          </w:p>
        </w:tc>
        <w:tc>
          <w:tcPr>
            <w:tcW w:w="2091" w:type="dxa"/>
            <w:shd w:val="pct10" w:color="auto" w:fill="auto"/>
          </w:tcPr>
          <w:p w:rsidR="00DD4B81" w:rsidRDefault="00DD4B81" w:rsidP="00EF0000">
            <w:pPr>
              <w:spacing w:line="400" w:lineRule="exact"/>
              <w:rPr>
                <w:sz w:val="24"/>
                <w:szCs w:val="24"/>
              </w:rPr>
            </w:pPr>
            <w:r>
              <w:rPr>
                <w:rFonts w:hint="eastAsia"/>
                <w:sz w:val="24"/>
                <w:szCs w:val="24"/>
              </w:rPr>
              <w:t>思わない</w:t>
            </w:r>
          </w:p>
        </w:tc>
        <w:tc>
          <w:tcPr>
            <w:tcW w:w="2092" w:type="dxa"/>
            <w:shd w:val="pct10" w:color="auto" w:fill="auto"/>
          </w:tcPr>
          <w:p w:rsidR="00DD4B81" w:rsidRDefault="00DD4B81" w:rsidP="00EF0000">
            <w:pPr>
              <w:spacing w:line="400" w:lineRule="exact"/>
              <w:rPr>
                <w:sz w:val="24"/>
                <w:szCs w:val="24"/>
              </w:rPr>
            </w:pPr>
            <w:r>
              <w:rPr>
                <w:rFonts w:hint="eastAsia"/>
                <w:sz w:val="24"/>
                <w:szCs w:val="24"/>
              </w:rPr>
              <w:t>わからない</w:t>
            </w:r>
          </w:p>
        </w:tc>
      </w:tr>
      <w:tr w:rsidR="002F5E04" w:rsidTr="002F5E04">
        <w:trPr>
          <w:trHeight w:val="478"/>
        </w:trPr>
        <w:tc>
          <w:tcPr>
            <w:tcW w:w="2091" w:type="dxa"/>
          </w:tcPr>
          <w:p w:rsidR="00DD4B81" w:rsidRDefault="002F5E04" w:rsidP="002F5E04">
            <w:pPr>
              <w:wordWrap w:val="0"/>
              <w:spacing w:line="400" w:lineRule="exact"/>
              <w:ind w:right="720"/>
              <w:jc w:val="right"/>
              <w:rPr>
                <w:sz w:val="24"/>
                <w:szCs w:val="24"/>
              </w:rPr>
            </w:pPr>
            <w:r>
              <w:rPr>
                <w:rFonts w:hint="eastAsia"/>
                <w:sz w:val="24"/>
                <w:szCs w:val="24"/>
              </w:rPr>
              <w:t xml:space="preserve">47.7％　</w:t>
            </w:r>
          </w:p>
        </w:tc>
        <w:tc>
          <w:tcPr>
            <w:tcW w:w="2091" w:type="dxa"/>
          </w:tcPr>
          <w:p w:rsidR="00DD4B81" w:rsidRDefault="002F5E04" w:rsidP="002F5E04">
            <w:pPr>
              <w:spacing w:line="400" w:lineRule="exact"/>
              <w:jc w:val="right"/>
              <w:rPr>
                <w:sz w:val="24"/>
                <w:szCs w:val="24"/>
              </w:rPr>
            </w:pPr>
            <w:r>
              <w:rPr>
                <w:rFonts w:hint="eastAsia"/>
                <w:sz w:val="24"/>
                <w:szCs w:val="24"/>
              </w:rPr>
              <w:t>32.7</w:t>
            </w:r>
            <w:r w:rsidR="00DD4B81">
              <w:rPr>
                <w:rFonts w:hint="eastAsia"/>
                <w:sz w:val="24"/>
                <w:szCs w:val="24"/>
              </w:rPr>
              <w:t>％</w:t>
            </w:r>
          </w:p>
        </w:tc>
        <w:tc>
          <w:tcPr>
            <w:tcW w:w="2091" w:type="dxa"/>
          </w:tcPr>
          <w:p w:rsidR="00DD4B81" w:rsidRDefault="002F5E04" w:rsidP="002F5E04">
            <w:pPr>
              <w:spacing w:line="400" w:lineRule="exact"/>
              <w:jc w:val="right"/>
              <w:rPr>
                <w:sz w:val="24"/>
                <w:szCs w:val="24"/>
              </w:rPr>
            </w:pPr>
            <w:r>
              <w:rPr>
                <w:rFonts w:hint="eastAsia"/>
                <w:sz w:val="24"/>
                <w:szCs w:val="24"/>
              </w:rPr>
              <w:t>7.5</w:t>
            </w:r>
            <w:r w:rsidR="00DD4B81">
              <w:rPr>
                <w:rFonts w:hint="eastAsia"/>
                <w:sz w:val="24"/>
                <w:szCs w:val="24"/>
              </w:rPr>
              <w:t>%</w:t>
            </w:r>
          </w:p>
        </w:tc>
        <w:tc>
          <w:tcPr>
            <w:tcW w:w="2091" w:type="dxa"/>
          </w:tcPr>
          <w:p w:rsidR="00DD4B81" w:rsidRDefault="002F5E04" w:rsidP="002F5E04">
            <w:pPr>
              <w:spacing w:line="400" w:lineRule="exact"/>
              <w:jc w:val="right"/>
              <w:rPr>
                <w:sz w:val="24"/>
                <w:szCs w:val="24"/>
              </w:rPr>
            </w:pPr>
            <w:r>
              <w:rPr>
                <w:rFonts w:hint="eastAsia"/>
                <w:sz w:val="24"/>
                <w:szCs w:val="24"/>
              </w:rPr>
              <w:t>4.9</w:t>
            </w:r>
            <w:r w:rsidR="00DD4B81">
              <w:rPr>
                <w:rFonts w:hint="eastAsia"/>
                <w:sz w:val="24"/>
                <w:szCs w:val="24"/>
              </w:rPr>
              <w:t>％</w:t>
            </w:r>
          </w:p>
        </w:tc>
        <w:tc>
          <w:tcPr>
            <w:tcW w:w="2092" w:type="dxa"/>
          </w:tcPr>
          <w:p w:rsidR="00DD4B81" w:rsidRDefault="002F5E04" w:rsidP="002F5E04">
            <w:pPr>
              <w:spacing w:line="400" w:lineRule="exact"/>
              <w:jc w:val="right"/>
              <w:rPr>
                <w:sz w:val="24"/>
                <w:szCs w:val="24"/>
              </w:rPr>
            </w:pPr>
            <w:r>
              <w:rPr>
                <w:rFonts w:hint="eastAsia"/>
                <w:sz w:val="24"/>
                <w:szCs w:val="24"/>
              </w:rPr>
              <w:t>7.1</w:t>
            </w:r>
            <w:r w:rsidR="00DD4B81">
              <w:rPr>
                <w:rFonts w:hint="eastAsia"/>
                <w:sz w:val="24"/>
                <w:szCs w:val="24"/>
              </w:rPr>
              <w:t>％</w:t>
            </w:r>
          </w:p>
        </w:tc>
      </w:tr>
    </w:tbl>
    <w:p w:rsidR="00DD4B81" w:rsidRPr="002F1F0D" w:rsidRDefault="00DD4B81" w:rsidP="002F5E04">
      <w:pPr>
        <w:spacing w:line="400" w:lineRule="exact"/>
        <w:ind w:left="960" w:hangingChars="400" w:hanging="960"/>
        <w:jc w:val="right"/>
        <w:rPr>
          <w:sz w:val="24"/>
          <w:szCs w:val="24"/>
        </w:rPr>
      </w:pPr>
    </w:p>
    <w:p w:rsidR="00DD4B81" w:rsidRPr="002F1F0D" w:rsidRDefault="00DD4B81" w:rsidP="002F5E04">
      <w:pPr>
        <w:spacing w:line="400" w:lineRule="exact"/>
        <w:ind w:left="960" w:hangingChars="400" w:hanging="960"/>
        <w:jc w:val="right"/>
        <w:rPr>
          <w:sz w:val="24"/>
          <w:szCs w:val="24"/>
        </w:rPr>
      </w:pPr>
    </w:p>
    <w:p w:rsidR="00DD4B81" w:rsidRPr="002F1F0D" w:rsidRDefault="00DD4B81" w:rsidP="00DD4B81">
      <w:pPr>
        <w:spacing w:line="400" w:lineRule="exact"/>
        <w:ind w:leftChars="100" w:left="930" w:hangingChars="300" w:hanging="720"/>
        <w:rPr>
          <w:sz w:val="24"/>
          <w:szCs w:val="24"/>
        </w:rPr>
      </w:pPr>
      <w:r>
        <w:rPr>
          <w:rFonts w:hint="eastAsia"/>
          <w:sz w:val="24"/>
          <w:szCs w:val="24"/>
        </w:rPr>
        <w:t>②</w:t>
      </w:r>
      <w:r w:rsidRPr="002F1F0D">
        <w:rPr>
          <w:rFonts w:hint="eastAsia"/>
          <w:sz w:val="24"/>
          <w:szCs w:val="24"/>
        </w:rPr>
        <w:t>対象：保護者</w:t>
      </w:r>
    </w:p>
    <w:p w:rsidR="00DD4B81" w:rsidRDefault="00DD4B81" w:rsidP="00DD4B81">
      <w:pPr>
        <w:spacing w:line="400" w:lineRule="exact"/>
        <w:ind w:leftChars="200" w:left="900" w:hangingChars="200" w:hanging="480"/>
        <w:rPr>
          <w:rFonts w:asciiTheme="minorEastAsia" w:hAnsiTheme="minorEastAsia"/>
          <w:color w:val="000000" w:themeColor="text1"/>
          <w:kern w:val="0"/>
          <w:sz w:val="24"/>
          <w:szCs w:val="24"/>
          <w:shd w:val="pct15" w:color="auto" w:fill="FFFFFF"/>
        </w:rPr>
      </w:pPr>
      <w:r w:rsidRPr="002F1F0D">
        <w:rPr>
          <w:rFonts w:hint="eastAsia"/>
          <w:sz w:val="24"/>
          <w:szCs w:val="24"/>
        </w:rPr>
        <w:t>項目：</w:t>
      </w:r>
      <w:r w:rsidRPr="007160BC">
        <w:rPr>
          <w:rFonts w:asciiTheme="minorEastAsia" w:hAnsiTheme="minorEastAsia" w:hint="eastAsia"/>
          <w:color w:val="000000" w:themeColor="text1"/>
          <w:kern w:val="0"/>
          <w:sz w:val="24"/>
          <w:szCs w:val="24"/>
        </w:rPr>
        <w:t>⑪立川市民科では、探究的な学びの実現に向けて組織的に取り組んでいる。</w:t>
      </w:r>
    </w:p>
    <w:p w:rsidR="00DD4B81" w:rsidRDefault="00DD4B81" w:rsidP="00DD4B81">
      <w:pPr>
        <w:spacing w:line="400" w:lineRule="exact"/>
        <w:ind w:left="960" w:hangingChars="400" w:hanging="960"/>
        <w:jc w:val="right"/>
        <w:rPr>
          <w:sz w:val="24"/>
          <w:szCs w:val="24"/>
        </w:rPr>
      </w:pPr>
      <w:r>
        <w:rPr>
          <w:rFonts w:hint="eastAsia"/>
          <w:sz w:val="24"/>
          <w:szCs w:val="24"/>
        </w:rPr>
        <w:t>（割合）</w:t>
      </w:r>
    </w:p>
    <w:tbl>
      <w:tblPr>
        <w:tblStyle w:val="a3"/>
        <w:tblW w:w="0" w:type="auto"/>
        <w:tblInd w:w="960" w:type="dxa"/>
        <w:tblLook w:val="04A0" w:firstRow="1" w:lastRow="0" w:firstColumn="1" w:lastColumn="0" w:noHBand="0" w:noVBand="1"/>
      </w:tblPr>
      <w:tblGrid>
        <w:gridCol w:w="1907"/>
        <w:gridCol w:w="1908"/>
        <w:gridCol w:w="1884"/>
        <w:gridCol w:w="1888"/>
        <w:gridCol w:w="1909"/>
      </w:tblGrid>
      <w:tr w:rsidR="00DD4B81" w:rsidTr="00EF0000">
        <w:tc>
          <w:tcPr>
            <w:tcW w:w="2091" w:type="dxa"/>
            <w:shd w:val="pct10" w:color="auto" w:fill="auto"/>
          </w:tcPr>
          <w:p w:rsidR="00DD4B81" w:rsidRDefault="00DD4B81" w:rsidP="00EF0000">
            <w:pPr>
              <w:spacing w:line="400" w:lineRule="exact"/>
              <w:rPr>
                <w:sz w:val="24"/>
                <w:szCs w:val="24"/>
              </w:rPr>
            </w:pPr>
            <w:r>
              <w:rPr>
                <w:rFonts w:hint="eastAsia"/>
                <w:sz w:val="24"/>
                <w:szCs w:val="24"/>
              </w:rPr>
              <w:t>そう思う</w:t>
            </w:r>
          </w:p>
        </w:tc>
        <w:tc>
          <w:tcPr>
            <w:tcW w:w="2091" w:type="dxa"/>
            <w:shd w:val="pct10" w:color="auto" w:fill="auto"/>
          </w:tcPr>
          <w:p w:rsidR="00DD4B81" w:rsidRDefault="00DD4B81" w:rsidP="00EF0000">
            <w:pPr>
              <w:spacing w:line="400" w:lineRule="exact"/>
              <w:rPr>
                <w:sz w:val="24"/>
                <w:szCs w:val="24"/>
              </w:rPr>
            </w:pPr>
            <w:r>
              <w:rPr>
                <w:rFonts w:hint="eastAsia"/>
                <w:sz w:val="24"/>
                <w:szCs w:val="24"/>
              </w:rPr>
              <w:t>概ねそう思う</w:t>
            </w:r>
          </w:p>
        </w:tc>
        <w:tc>
          <w:tcPr>
            <w:tcW w:w="2091" w:type="dxa"/>
            <w:shd w:val="pct10" w:color="auto" w:fill="auto"/>
          </w:tcPr>
          <w:p w:rsidR="00DD4B81" w:rsidRDefault="00DD4B81" w:rsidP="00EF0000">
            <w:pPr>
              <w:spacing w:line="400" w:lineRule="exact"/>
              <w:rPr>
                <w:sz w:val="24"/>
                <w:szCs w:val="24"/>
              </w:rPr>
            </w:pPr>
            <w:r>
              <w:rPr>
                <w:rFonts w:hint="eastAsia"/>
                <w:sz w:val="24"/>
                <w:szCs w:val="24"/>
              </w:rPr>
              <w:t>あまりそう思わない</w:t>
            </w:r>
          </w:p>
        </w:tc>
        <w:tc>
          <w:tcPr>
            <w:tcW w:w="2091" w:type="dxa"/>
            <w:shd w:val="pct10" w:color="auto" w:fill="auto"/>
          </w:tcPr>
          <w:p w:rsidR="00DD4B81" w:rsidRDefault="00DD4B81" w:rsidP="00EF0000">
            <w:pPr>
              <w:spacing w:line="400" w:lineRule="exact"/>
              <w:rPr>
                <w:sz w:val="24"/>
                <w:szCs w:val="24"/>
              </w:rPr>
            </w:pPr>
            <w:r>
              <w:rPr>
                <w:rFonts w:hint="eastAsia"/>
                <w:sz w:val="24"/>
                <w:szCs w:val="24"/>
              </w:rPr>
              <w:t>思わない</w:t>
            </w:r>
          </w:p>
        </w:tc>
        <w:tc>
          <w:tcPr>
            <w:tcW w:w="2092" w:type="dxa"/>
            <w:shd w:val="pct10" w:color="auto" w:fill="auto"/>
          </w:tcPr>
          <w:p w:rsidR="00DD4B81" w:rsidRDefault="00DD4B81" w:rsidP="00EF0000">
            <w:pPr>
              <w:spacing w:line="400" w:lineRule="exact"/>
              <w:rPr>
                <w:sz w:val="24"/>
                <w:szCs w:val="24"/>
              </w:rPr>
            </w:pPr>
            <w:r>
              <w:rPr>
                <w:rFonts w:hint="eastAsia"/>
                <w:sz w:val="24"/>
                <w:szCs w:val="24"/>
              </w:rPr>
              <w:t>わからない</w:t>
            </w:r>
          </w:p>
        </w:tc>
      </w:tr>
      <w:tr w:rsidR="00DD4B81" w:rsidTr="00EF0000">
        <w:trPr>
          <w:trHeight w:val="574"/>
        </w:trPr>
        <w:tc>
          <w:tcPr>
            <w:tcW w:w="2091" w:type="dxa"/>
          </w:tcPr>
          <w:p w:rsidR="00DD4B81" w:rsidRDefault="002F5E04" w:rsidP="00EF0000">
            <w:pPr>
              <w:spacing w:line="400" w:lineRule="exact"/>
              <w:jc w:val="right"/>
              <w:rPr>
                <w:sz w:val="24"/>
                <w:szCs w:val="24"/>
              </w:rPr>
            </w:pPr>
            <w:r>
              <w:rPr>
                <w:rFonts w:hint="eastAsia"/>
                <w:sz w:val="24"/>
                <w:szCs w:val="24"/>
              </w:rPr>
              <w:t>33.2</w:t>
            </w:r>
            <w:r w:rsidR="00DD4B81">
              <w:rPr>
                <w:rFonts w:hint="eastAsia"/>
                <w:sz w:val="24"/>
                <w:szCs w:val="24"/>
              </w:rPr>
              <w:t>％</w:t>
            </w:r>
          </w:p>
        </w:tc>
        <w:tc>
          <w:tcPr>
            <w:tcW w:w="2091" w:type="dxa"/>
          </w:tcPr>
          <w:p w:rsidR="00DD4B81" w:rsidRDefault="002F5E04" w:rsidP="00EF0000">
            <w:pPr>
              <w:spacing w:line="400" w:lineRule="exact"/>
              <w:jc w:val="right"/>
              <w:rPr>
                <w:sz w:val="24"/>
                <w:szCs w:val="24"/>
              </w:rPr>
            </w:pPr>
            <w:r>
              <w:rPr>
                <w:rFonts w:hint="eastAsia"/>
                <w:sz w:val="24"/>
                <w:szCs w:val="24"/>
              </w:rPr>
              <w:t>40.3</w:t>
            </w:r>
            <w:r w:rsidR="00DD4B81">
              <w:rPr>
                <w:rFonts w:hint="eastAsia"/>
                <w:sz w:val="24"/>
                <w:szCs w:val="24"/>
              </w:rPr>
              <w:t>％</w:t>
            </w:r>
          </w:p>
        </w:tc>
        <w:tc>
          <w:tcPr>
            <w:tcW w:w="2091" w:type="dxa"/>
          </w:tcPr>
          <w:p w:rsidR="00DD4B81" w:rsidRDefault="002F5E04" w:rsidP="00EF0000">
            <w:pPr>
              <w:spacing w:line="400" w:lineRule="exact"/>
              <w:jc w:val="right"/>
              <w:rPr>
                <w:sz w:val="24"/>
                <w:szCs w:val="24"/>
              </w:rPr>
            </w:pPr>
            <w:r>
              <w:rPr>
                <w:rFonts w:hint="eastAsia"/>
                <w:sz w:val="24"/>
                <w:szCs w:val="24"/>
              </w:rPr>
              <w:t>2.8</w:t>
            </w:r>
            <w:r w:rsidR="00DD4B81">
              <w:rPr>
                <w:rFonts w:hint="eastAsia"/>
                <w:sz w:val="24"/>
                <w:szCs w:val="24"/>
              </w:rPr>
              <w:t>%</w:t>
            </w:r>
          </w:p>
        </w:tc>
        <w:tc>
          <w:tcPr>
            <w:tcW w:w="2091" w:type="dxa"/>
          </w:tcPr>
          <w:p w:rsidR="00DD4B81" w:rsidRDefault="002F5E04" w:rsidP="00EF0000">
            <w:pPr>
              <w:spacing w:line="400" w:lineRule="exact"/>
              <w:jc w:val="right"/>
              <w:rPr>
                <w:sz w:val="24"/>
                <w:szCs w:val="24"/>
              </w:rPr>
            </w:pPr>
            <w:r>
              <w:rPr>
                <w:rFonts w:hint="eastAsia"/>
                <w:sz w:val="24"/>
                <w:szCs w:val="24"/>
              </w:rPr>
              <w:t>0.4</w:t>
            </w:r>
            <w:r w:rsidR="00DD4B81">
              <w:rPr>
                <w:rFonts w:hint="eastAsia"/>
                <w:sz w:val="24"/>
                <w:szCs w:val="24"/>
              </w:rPr>
              <w:t>％</w:t>
            </w:r>
          </w:p>
        </w:tc>
        <w:tc>
          <w:tcPr>
            <w:tcW w:w="2092" w:type="dxa"/>
          </w:tcPr>
          <w:p w:rsidR="00DD4B81" w:rsidRDefault="002F5E04" w:rsidP="00EF0000">
            <w:pPr>
              <w:spacing w:line="400" w:lineRule="exact"/>
              <w:jc w:val="right"/>
              <w:rPr>
                <w:sz w:val="24"/>
                <w:szCs w:val="24"/>
              </w:rPr>
            </w:pPr>
            <w:r>
              <w:rPr>
                <w:rFonts w:hint="eastAsia"/>
                <w:sz w:val="24"/>
                <w:szCs w:val="24"/>
              </w:rPr>
              <w:t>23.3</w:t>
            </w:r>
            <w:r w:rsidR="00DD4B81">
              <w:rPr>
                <w:rFonts w:hint="eastAsia"/>
                <w:sz w:val="24"/>
                <w:szCs w:val="24"/>
              </w:rPr>
              <w:t>％</w:t>
            </w:r>
          </w:p>
        </w:tc>
      </w:tr>
    </w:tbl>
    <w:p w:rsidR="00DD4B81" w:rsidRDefault="00DD4B81" w:rsidP="00DD4B81">
      <w:pPr>
        <w:spacing w:line="400" w:lineRule="exact"/>
        <w:ind w:left="960" w:hangingChars="400" w:hanging="960"/>
        <w:rPr>
          <w:sz w:val="24"/>
          <w:szCs w:val="24"/>
        </w:rPr>
      </w:pPr>
    </w:p>
    <w:p w:rsidR="00497E8B" w:rsidRPr="00DD4B81" w:rsidRDefault="00497E8B"/>
    <w:sectPr w:rsidR="00497E8B" w:rsidRPr="00DD4B81" w:rsidSect="0069560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E46" w:rsidRDefault="005B6E46" w:rsidP="00F37A08">
      <w:r>
        <w:separator/>
      </w:r>
    </w:p>
  </w:endnote>
  <w:endnote w:type="continuationSeparator" w:id="0">
    <w:p w:rsidR="005B6E46" w:rsidRDefault="005B6E46" w:rsidP="00F3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E46" w:rsidRDefault="005B6E46" w:rsidP="00F37A08">
      <w:r>
        <w:separator/>
      </w:r>
    </w:p>
  </w:footnote>
  <w:footnote w:type="continuationSeparator" w:id="0">
    <w:p w:rsidR="005B6E46" w:rsidRDefault="005B6E46" w:rsidP="00F37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1"/>
    <w:rsid w:val="0027422F"/>
    <w:rsid w:val="002F5E04"/>
    <w:rsid w:val="00497E8B"/>
    <w:rsid w:val="005B6E46"/>
    <w:rsid w:val="008831E9"/>
    <w:rsid w:val="00B269C6"/>
    <w:rsid w:val="00DD4B81"/>
    <w:rsid w:val="00F37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D05688A-BF2F-4A54-9FFE-6157661F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B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7A08"/>
    <w:pPr>
      <w:tabs>
        <w:tab w:val="center" w:pos="4252"/>
        <w:tab w:val="right" w:pos="8504"/>
      </w:tabs>
      <w:snapToGrid w:val="0"/>
    </w:pPr>
  </w:style>
  <w:style w:type="character" w:customStyle="1" w:styleId="a5">
    <w:name w:val="ヘッダー (文字)"/>
    <w:basedOn w:val="a0"/>
    <w:link w:val="a4"/>
    <w:uiPriority w:val="99"/>
    <w:rsid w:val="00F37A08"/>
  </w:style>
  <w:style w:type="paragraph" w:styleId="a6">
    <w:name w:val="footer"/>
    <w:basedOn w:val="a"/>
    <w:link w:val="a7"/>
    <w:uiPriority w:val="99"/>
    <w:unhideWhenUsed/>
    <w:rsid w:val="00F37A08"/>
    <w:pPr>
      <w:tabs>
        <w:tab w:val="center" w:pos="4252"/>
        <w:tab w:val="right" w:pos="8504"/>
      </w:tabs>
      <w:snapToGrid w:val="0"/>
    </w:pPr>
  </w:style>
  <w:style w:type="character" w:customStyle="1" w:styleId="a7">
    <w:name w:val="フッター (文字)"/>
    <w:basedOn w:val="a0"/>
    <w:link w:val="a6"/>
    <w:uiPriority w:val="99"/>
    <w:rsid w:val="00F37A08"/>
  </w:style>
  <w:style w:type="paragraph" w:styleId="a8">
    <w:name w:val="Balloon Text"/>
    <w:basedOn w:val="a"/>
    <w:link w:val="a9"/>
    <w:uiPriority w:val="99"/>
    <w:semiHidden/>
    <w:unhideWhenUsed/>
    <w:rsid w:val="00F37A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7A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慎司</dc:creator>
  <cp:keywords/>
  <dc:description/>
  <cp:lastModifiedBy>木村 宗美</cp:lastModifiedBy>
  <cp:revision>2</cp:revision>
  <cp:lastPrinted>2023-05-24T01:02:00Z</cp:lastPrinted>
  <dcterms:created xsi:type="dcterms:W3CDTF">2023-05-25T05:16:00Z</dcterms:created>
  <dcterms:modified xsi:type="dcterms:W3CDTF">2023-05-25T05:16:00Z</dcterms:modified>
</cp:coreProperties>
</file>